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E246" w14:textId="77777777" w:rsidR="009A43FF" w:rsidRDefault="00000000">
      <w:pPr>
        <w:pStyle w:val="a4"/>
        <w:widowControl/>
        <w:shd w:val="clear" w:color="auto" w:fill="FFFFFF"/>
        <w:spacing w:beforeAutospacing="0" w:after="525" w:afterAutospacing="0" w:line="26" w:lineRule="atLeast"/>
        <w:ind w:firstLine="540"/>
        <w:jc w:val="both"/>
        <w:rPr>
          <w:rFonts w:ascii="微软雅黑" w:eastAsia="微软雅黑" w:hAnsi="微软雅黑" w:cs="微软雅黑"/>
          <w:color w:val="333333"/>
          <w:shd w:val="clear" w:color="auto" w:fill="FFFFFF"/>
        </w:rPr>
      </w:pPr>
      <w:r>
        <w:rPr>
          <w:rFonts w:ascii="微软雅黑" w:eastAsia="微软雅黑" w:hAnsi="微软雅黑" w:cs="微软雅黑" w:hint="eastAsia"/>
          <w:color w:val="333333"/>
          <w:shd w:val="clear" w:color="auto" w:fill="FFFFFF"/>
        </w:rPr>
        <w:t>附件1</w:t>
      </w:r>
    </w:p>
    <w:p w14:paraId="1F6667FB" w14:textId="77777777" w:rsidR="009A43FF" w:rsidRDefault="00000000">
      <w:pPr>
        <w:jc w:val="center"/>
        <w:rPr>
          <w:rFonts w:ascii="宋体" w:hAnsi="宋体"/>
          <w:b/>
          <w:sz w:val="32"/>
          <w:szCs w:val="32"/>
        </w:rPr>
      </w:pPr>
      <w:r>
        <w:rPr>
          <w:rFonts w:ascii="宋体" w:hAnsi="宋体" w:hint="eastAsia"/>
          <w:b/>
          <w:sz w:val="32"/>
          <w:szCs w:val="32"/>
        </w:rPr>
        <w:t>东南大学成贤学院</w:t>
      </w:r>
    </w:p>
    <w:p w14:paraId="36AFC5C7" w14:textId="77777777" w:rsidR="009A43FF" w:rsidRDefault="00000000">
      <w:pPr>
        <w:jc w:val="center"/>
        <w:rPr>
          <w:b/>
          <w:bCs/>
        </w:rPr>
      </w:pPr>
      <w:r>
        <w:rPr>
          <w:rFonts w:ascii="宋体" w:hAnsi="宋体" w:hint="eastAsia"/>
          <w:b/>
          <w:sz w:val="32"/>
          <w:szCs w:val="32"/>
        </w:rPr>
        <w:t>“生涯规划指导”学分认定与管理办法</w:t>
      </w:r>
    </w:p>
    <w:p w14:paraId="1043229C" w14:textId="77777777" w:rsidR="009A43FF" w:rsidRDefault="00000000">
      <w:pPr>
        <w:spacing w:before="200" w:after="200" w:line="400" w:lineRule="exact"/>
        <w:jc w:val="center"/>
        <w:rPr>
          <w:rFonts w:ascii="宋体"/>
          <w:b/>
          <w:sz w:val="24"/>
        </w:rPr>
      </w:pPr>
      <w:r>
        <w:rPr>
          <w:rFonts w:ascii="宋体" w:hAnsi="宋体" w:hint="eastAsia"/>
          <w:b/>
          <w:sz w:val="24"/>
        </w:rPr>
        <w:t>第一章</w:t>
      </w:r>
      <w:r>
        <w:rPr>
          <w:rFonts w:ascii="宋体" w:hAnsi="宋体"/>
          <w:b/>
          <w:sz w:val="24"/>
        </w:rPr>
        <w:t xml:space="preserve"> </w:t>
      </w:r>
      <w:r>
        <w:rPr>
          <w:rFonts w:ascii="宋体" w:hAnsi="宋体" w:hint="eastAsia"/>
          <w:b/>
          <w:sz w:val="24"/>
        </w:rPr>
        <w:t>总则</w:t>
      </w:r>
    </w:p>
    <w:p w14:paraId="7A9380CD" w14:textId="77777777" w:rsidR="009A43FF" w:rsidRDefault="00000000">
      <w:pPr>
        <w:pStyle w:val="HTML"/>
        <w:shd w:val="clear" w:color="auto" w:fill="FFFFFF"/>
        <w:spacing w:beforeLines="50" w:before="156" w:afterLines="50" w:after="156" w:line="520" w:lineRule="exact"/>
        <w:ind w:firstLineChars="200" w:firstLine="482"/>
      </w:pPr>
      <w:r>
        <w:rPr>
          <w:rFonts w:hint="eastAsia"/>
          <w:b/>
          <w:bCs/>
        </w:rPr>
        <w:t>第一条</w:t>
      </w:r>
      <w:r>
        <w:rPr>
          <w:rFonts w:hint="eastAsia"/>
        </w:rPr>
        <w:t xml:space="preserve"> 为了引导学生进入大学后，尽快规划个人的学业发展方向、职业生涯规划和人生发展目标，我校从2019级起，人才培养方案中设立</w:t>
      </w:r>
      <w:r>
        <w:rPr>
          <w:rFonts w:hint="eastAsia"/>
          <w:kern w:val="2"/>
        </w:rPr>
        <w:t>“生涯规划指导”</w:t>
      </w:r>
      <w:r>
        <w:rPr>
          <w:rFonts w:hint="eastAsia"/>
        </w:rPr>
        <w:t>第二课堂学分，为了规范管理，特制定本办法。</w:t>
      </w:r>
    </w:p>
    <w:p w14:paraId="07C13947" w14:textId="77777777" w:rsidR="009A43FF" w:rsidRDefault="00000000">
      <w:pPr>
        <w:pStyle w:val="HTML"/>
        <w:shd w:val="clear" w:color="auto" w:fill="FFFFFF"/>
        <w:spacing w:beforeLines="50" w:before="156" w:afterLines="50" w:after="156" w:line="520" w:lineRule="exact"/>
        <w:ind w:firstLineChars="200" w:firstLine="482"/>
      </w:pPr>
      <w:r>
        <w:rPr>
          <w:rFonts w:hint="eastAsia"/>
          <w:b/>
          <w:bCs/>
        </w:rPr>
        <w:t>第二条</w:t>
      </w:r>
      <w:r>
        <w:rPr>
          <w:rFonts w:hint="eastAsia"/>
        </w:rPr>
        <w:t xml:space="preserve"> 每个学生须取得0.5个</w:t>
      </w:r>
      <w:r>
        <w:rPr>
          <w:rFonts w:hint="eastAsia"/>
          <w:kern w:val="2"/>
        </w:rPr>
        <w:t>“生涯规划指导”</w:t>
      </w:r>
      <w:r>
        <w:rPr>
          <w:rFonts w:hint="eastAsia"/>
        </w:rPr>
        <w:t>第二课堂学分，记入学生成绩档案，作为毕业审核和学位审核的条件之一。</w:t>
      </w:r>
    </w:p>
    <w:p w14:paraId="1ABF1590" w14:textId="77777777" w:rsidR="009A43FF" w:rsidRDefault="00000000">
      <w:pPr>
        <w:spacing w:beforeLines="50" w:before="156" w:afterLines="50" w:after="156" w:line="500" w:lineRule="exact"/>
        <w:jc w:val="center"/>
        <w:rPr>
          <w:rFonts w:ascii="宋体" w:eastAsia="宋体" w:hAnsi="宋体" w:cs="宋体"/>
          <w:b/>
          <w:sz w:val="24"/>
        </w:rPr>
      </w:pPr>
      <w:r>
        <w:rPr>
          <w:rFonts w:ascii="宋体" w:eastAsia="宋体" w:hAnsi="宋体" w:cs="宋体" w:hint="eastAsia"/>
          <w:b/>
          <w:sz w:val="24"/>
        </w:rPr>
        <w:t>第二章 “生涯规划指导”学分的认定</w:t>
      </w:r>
    </w:p>
    <w:p w14:paraId="2FAAF4B4" w14:textId="77777777" w:rsidR="009A43FF" w:rsidRDefault="00000000">
      <w:pPr>
        <w:pStyle w:val="HTML"/>
        <w:shd w:val="clear" w:color="auto" w:fill="FFFFFF"/>
        <w:spacing w:beforeLines="50" w:before="156" w:afterLines="50" w:after="156" w:line="520" w:lineRule="exact"/>
        <w:ind w:firstLineChars="200" w:firstLine="482"/>
      </w:pPr>
      <w:r>
        <w:rPr>
          <w:rFonts w:hint="eastAsia"/>
          <w:b/>
          <w:bCs/>
        </w:rPr>
        <w:t xml:space="preserve">第三条 </w:t>
      </w:r>
      <w:r>
        <w:rPr>
          <w:rFonts w:hint="eastAsia"/>
        </w:rPr>
        <w:t>“生涯规划指导”第二课堂的内容含“新生导学”和“生涯规划”两大模块。“新生导学”模块含“专业介绍”和“大学生手册学习与考试”两部分。“专业介绍”部分旨在引导学生了解与认知所在学科专业特点、培养目标、学习内容、课程体系、课程设置、前沿发展及就业情况，使学生对专业形成概要性的认识，唤起学生对专业的兴趣和热爱，帮助学生了解大学各阶段的特点。“大学生手册学习与考试”部分旨在帮助大学生认识大学的社会功能，了解学校的办学理念、人才培养模式、学生管理制度、教学管理制度等，增强角色意识，尽快适应大学学习环境，培养学生自主学习、自觉学习和自我管理的意识。“生涯规划”旨在帮助学生了解职业生涯规划的意义和原则，提高对大学生涯规划意义的认识，拓宽学生职业生涯知识面，引导学生思考学业发展方向、职业发展定位和人生发展目标，制订个人的职业生涯规划。</w:t>
      </w:r>
    </w:p>
    <w:p w14:paraId="4C7A6A7E" w14:textId="77777777" w:rsidR="009A43FF" w:rsidRDefault="00000000">
      <w:pPr>
        <w:pStyle w:val="HTML"/>
        <w:shd w:val="clear" w:color="auto" w:fill="FFFFFF"/>
        <w:spacing w:beforeLines="50" w:before="156" w:afterLines="50" w:after="156" w:line="520" w:lineRule="exact"/>
        <w:ind w:firstLineChars="200" w:firstLine="482"/>
      </w:pPr>
      <w:r>
        <w:rPr>
          <w:rFonts w:hint="eastAsia"/>
          <w:b/>
          <w:bCs/>
        </w:rPr>
        <w:t xml:space="preserve">第四条 </w:t>
      </w:r>
      <w:r>
        <w:rPr>
          <w:rFonts w:hint="eastAsia"/>
        </w:rPr>
        <w:t>“生涯规划指导”第二课堂的具体安排见下表</w:t>
      </w:r>
    </w:p>
    <w:p w14:paraId="0F543A18" w14:textId="77777777" w:rsidR="009A43FF" w:rsidRDefault="009A43FF">
      <w:pPr>
        <w:pStyle w:val="HTML"/>
        <w:shd w:val="clear" w:color="auto" w:fill="FFFFFF"/>
        <w:spacing w:beforeLines="50" w:before="156" w:afterLines="50" w:after="156" w:line="520" w:lineRule="exact"/>
        <w:ind w:firstLineChars="200" w:firstLine="480"/>
      </w:pPr>
    </w:p>
    <w:p w14:paraId="2D4567C9" w14:textId="77777777" w:rsidR="009A43FF" w:rsidRDefault="009A43FF">
      <w:pPr>
        <w:pStyle w:val="HTML"/>
        <w:shd w:val="clear" w:color="auto" w:fill="FFFFFF"/>
        <w:spacing w:beforeLines="50" w:before="156" w:afterLines="50" w:after="156" w:line="500" w:lineRule="exact"/>
        <w:ind w:firstLineChars="200" w:firstLine="560"/>
        <w:rPr>
          <w:sz w:val="28"/>
          <w:szCs w:val="28"/>
        </w:rPr>
      </w:pPr>
    </w:p>
    <w:tbl>
      <w:tblPr>
        <w:tblStyle w:val="a5"/>
        <w:tblpPr w:leftFromText="180" w:rightFromText="180" w:vertAnchor="text" w:horzAnchor="page" w:tblpX="1830" w:tblpY="301"/>
        <w:tblOverlap w:val="never"/>
        <w:tblW w:w="7997" w:type="dxa"/>
        <w:tblLayout w:type="fixed"/>
        <w:tblLook w:val="04A0" w:firstRow="1" w:lastRow="0" w:firstColumn="1" w:lastColumn="0" w:noHBand="0" w:noVBand="1"/>
      </w:tblPr>
      <w:tblGrid>
        <w:gridCol w:w="789"/>
        <w:gridCol w:w="2655"/>
        <w:gridCol w:w="1665"/>
        <w:gridCol w:w="915"/>
        <w:gridCol w:w="1973"/>
      </w:tblGrid>
      <w:tr w:rsidR="009A43FF" w14:paraId="22DE5552" w14:textId="77777777">
        <w:trPr>
          <w:trHeight w:hRule="exact" w:val="757"/>
        </w:trPr>
        <w:tc>
          <w:tcPr>
            <w:tcW w:w="3444" w:type="dxa"/>
            <w:gridSpan w:val="2"/>
            <w:vAlign w:val="center"/>
          </w:tcPr>
          <w:p w14:paraId="5AAB6548" w14:textId="77777777" w:rsidR="009A43FF" w:rsidRDefault="00000000">
            <w:pPr>
              <w:jc w:val="center"/>
              <w:rPr>
                <w:rFonts w:ascii="宋体" w:eastAsia="宋体" w:hAnsi="宋体" w:cs="宋体"/>
                <w:bCs/>
                <w:szCs w:val="21"/>
              </w:rPr>
            </w:pPr>
            <w:r>
              <w:rPr>
                <w:rFonts w:ascii="宋体" w:eastAsia="宋体" w:hAnsi="宋体" w:cs="宋体" w:hint="eastAsia"/>
                <w:bCs/>
                <w:szCs w:val="21"/>
              </w:rPr>
              <w:t>内容</w:t>
            </w:r>
          </w:p>
        </w:tc>
        <w:tc>
          <w:tcPr>
            <w:tcW w:w="1665" w:type="dxa"/>
            <w:vAlign w:val="center"/>
          </w:tcPr>
          <w:p w14:paraId="7C595E22" w14:textId="77777777" w:rsidR="009A43FF" w:rsidRDefault="00000000">
            <w:pPr>
              <w:spacing w:line="320" w:lineRule="exact"/>
              <w:jc w:val="center"/>
              <w:rPr>
                <w:rFonts w:ascii="宋体" w:eastAsia="宋体" w:hAnsi="宋体" w:cs="宋体"/>
                <w:bCs/>
                <w:szCs w:val="21"/>
              </w:rPr>
            </w:pPr>
            <w:r>
              <w:rPr>
                <w:rFonts w:ascii="宋体" w:eastAsia="宋体" w:hAnsi="宋体" w:cs="宋体" w:hint="eastAsia"/>
                <w:bCs/>
                <w:szCs w:val="21"/>
              </w:rPr>
              <w:t>时间</w:t>
            </w:r>
          </w:p>
        </w:tc>
        <w:tc>
          <w:tcPr>
            <w:tcW w:w="915" w:type="dxa"/>
            <w:vAlign w:val="center"/>
          </w:tcPr>
          <w:p w14:paraId="0B7D3C89" w14:textId="77777777" w:rsidR="009A43FF" w:rsidRDefault="00000000">
            <w:pPr>
              <w:spacing w:line="320" w:lineRule="exact"/>
              <w:jc w:val="center"/>
              <w:rPr>
                <w:rFonts w:ascii="宋体" w:eastAsia="宋体" w:hAnsi="宋体" w:cs="宋体"/>
                <w:bCs/>
                <w:szCs w:val="21"/>
              </w:rPr>
            </w:pPr>
            <w:r>
              <w:rPr>
                <w:rFonts w:ascii="宋体" w:eastAsia="宋体" w:hAnsi="宋体" w:cs="宋体" w:hint="eastAsia"/>
                <w:bCs/>
                <w:szCs w:val="21"/>
              </w:rPr>
              <w:t>方式</w:t>
            </w:r>
          </w:p>
        </w:tc>
        <w:tc>
          <w:tcPr>
            <w:tcW w:w="1973" w:type="dxa"/>
            <w:vAlign w:val="center"/>
          </w:tcPr>
          <w:p w14:paraId="5E8802BF" w14:textId="77777777" w:rsidR="009A43FF" w:rsidRDefault="00000000">
            <w:pPr>
              <w:jc w:val="center"/>
              <w:rPr>
                <w:rFonts w:ascii="宋体" w:eastAsia="宋体" w:hAnsi="宋体" w:cs="宋体"/>
                <w:bCs/>
                <w:szCs w:val="21"/>
              </w:rPr>
            </w:pPr>
            <w:r>
              <w:rPr>
                <w:rFonts w:ascii="宋体" w:eastAsia="宋体" w:hAnsi="宋体" w:cs="宋体" w:hint="eastAsia"/>
                <w:bCs/>
                <w:szCs w:val="21"/>
              </w:rPr>
              <w:t>备注</w:t>
            </w:r>
          </w:p>
        </w:tc>
      </w:tr>
      <w:tr w:rsidR="009A43FF" w14:paraId="17D59F2E" w14:textId="77777777">
        <w:trPr>
          <w:trHeight w:hRule="exact" w:val="2611"/>
        </w:trPr>
        <w:tc>
          <w:tcPr>
            <w:tcW w:w="789" w:type="dxa"/>
            <w:vMerge w:val="restart"/>
            <w:vAlign w:val="center"/>
          </w:tcPr>
          <w:p w14:paraId="467BEEE6"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新生导学</w:t>
            </w:r>
          </w:p>
        </w:tc>
        <w:tc>
          <w:tcPr>
            <w:tcW w:w="2655" w:type="dxa"/>
            <w:vAlign w:val="center"/>
          </w:tcPr>
          <w:p w14:paraId="1B88CBAB" w14:textId="77777777" w:rsidR="009A43FF" w:rsidRDefault="00000000">
            <w:pPr>
              <w:rPr>
                <w:rFonts w:ascii="宋体" w:eastAsia="宋体" w:hAnsi="宋体" w:cs="宋体"/>
                <w:kern w:val="0"/>
                <w:szCs w:val="21"/>
              </w:rPr>
            </w:pPr>
            <w:r>
              <w:rPr>
                <w:rFonts w:ascii="宋体" w:eastAsia="宋体" w:hAnsi="宋体" w:cs="宋体" w:hint="eastAsia"/>
                <w:kern w:val="0"/>
                <w:szCs w:val="21"/>
              </w:rPr>
              <w:t>专业介绍（解读专业人才培养方案，介绍指导性教学计划中有关课程与学生学业发展方向的关系、大学各阶段的特点和本学科专业的发展前景、本专业毕业生就业前景等）</w:t>
            </w:r>
          </w:p>
        </w:tc>
        <w:tc>
          <w:tcPr>
            <w:tcW w:w="1665" w:type="dxa"/>
            <w:vAlign w:val="center"/>
          </w:tcPr>
          <w:p w14:paraId="69FA17FD"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第1学期</w:t>
            </w:r>
          </w:p>
          <w:p w14:paraId="3A773FF1"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9-10月份</w:t>
            </w:r>
          </w:p>
        </w:tc>
        <w:tc>
          <w:tcPr>
            <w:tcW w:w="915" w:type="dxa"/>
            <w:vAlign w:val="center"/>
          </w:tcPr>
          <w:p w14:paraId="0BDCE422"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讲座</w:t>
            </w:r>
          </w:p>
        </w:tc>
        <w:tc>
          <w:tcPr>
            <w:tcW w:w="1973" w:type="dxa"/>
            <w:vAlign w:val="center"/>
          </w:tcPr>
          <w:p w14:paraId="3428AF30"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二级学院负责安排，各专业负责人主讲，每个学生必须聆听本专业介绍，辅导员负责考勤。</w:t>
            </w:r>
          </w:p>
        </w:tc>
      </w:tr>
      <w:tr w:rsidR="009A43FF" w14:paraId="482DE48C" w14:textId="77777777">
        <w:trPr>
          <w:trHeight w:hRule="exact" w:val="2569"/>
        </w:trPr>
        <w:tc>
          <w:tcPr>
            <w:tcW w:w="789" w:type="dxa"/>
            <w:vMerge/>
            <w:vAlign w:val="center"/>
          </w:tcPr>
          <w:p w14:paraId="794859E9" w14:textId="77777777" w:rsidR="009A43FF" w:rsidRDefault="009A43FF">
            <w:pPr>
              <w:jc w:val="center"/>
              <w:rPr>
                <w:rFonts w:ascii="宋体" w:eastAsia="宋体" w:hAnsi="宋体" w:cs="宋体"/>
                <w:kern w:val="0"/>
                <w:szCs w:val="21"/>
              </w:rPr>
            </w:pPr>
          </w:p>
        </w:tc>
        <w:tc>
          <w:tcPr>
            <w:tcW w:w="2655" w:type="dxa"/>
            <w:vAlign w:val="center"/>
          </w:tcPr>
          <w:p w14:paraId="67AE344E"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大学生手册学习与考试</w:t>
            </w:r>
          </w:p>
        </w:tc>
        <w:tc>
          <w:tcPr>
            <w:tcW w:w="1665" w:type="dxa"/>
            <w:vAlign w:val="center"/>
          </w:tcPr>
          <w:p w14:paraId="21198D7F"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第1学期</w:t>
            </w:r>
          </w:p>
          <w:p w14:paraId="6C560FF5"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12月份</w:t>
            </w:r>
          </w:p>
        </w:tc>
        <w:tc>
          <w:tcPr>
            <w:tcW w:w="915" w:type="dxa"/>
            <w:vAlign w:val="center"/>
          </w:tcPr>
          <w:p w14:paraId="3CAF2D81"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 xml:space="preserve">自学 </w:t>
            </w:r>
            <w:proofErr w:type="gramStart"/>
            <w:r>
              <w:rPr>
                <w:rFonts w:ascii="宋体" w:eastAsia="宋体" w:hAnsi="宋体" w:cs="宋体" w:hint="eastAsia"/>
                <w:kern w:val="0"/>
                <w:szCs w:val="21"/>
              </w:rPr>
              <w:t>机考</w:t>
            </w:r>
            <w:proofErr w:type="gramEnd"/>
          </w:p>
        </w:tc>
        <w:tc>
          <w:tcPr>
            <w:tcW w:w="1973" w:type="dxa"/>
            <w:vAlign w:val="center"/>
          </w:tcPr>
          <w:p w14:paraId="27717F50"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教务处负责安排</w:t>
            </w:r>
            <w:proofErr w:type="gramStart"/>
            <w:r>
              <w:rPr>
                <w:rFonts w:ascii="宋体" w:eastAsia="宋体" w:hAnsi="宋体" w:cs="宋体" w:hint="eastAsia"/>
                <w:kern w:val="0"/>
                <w:szCs w:val="21"/>
              </w:rPr>
              <w:t>排</w:t>
            </w:r>
            <w:proofErr w:type="gramEnd"/>
            <w:r>
              <w:rPr>
                <w:rFonts w:ascii="宋体" w:eastAsia="宋体" w:hAnsi="宋体" w:cs="宋体" w:hint="eastAsia"/>
                <w:kern w:val="0"/>
                <w:szCs w:val="21"/>
              </w:rPr>
              <w:t>考，成绩≥60分（未达要求的学生安排一次补考，补考时间另行通知），辅导员负责登记学生的成绩。</w:t>
            </w:r>
          </w:p>
        </w:tc>
      </w:tr>
      <w:tr w:rsidR="009A43FF" w14:paraId="764533C8" w14:textId="77777777">
        <w:trPr>
          <w:trHeight w:hRule="exact" w:val="2069"/>
        </w:trPr>
        <w:tc>
          <w:tcPr>
            <w:tcW w:w="789" w:type="dxa"/>
            <w:vAlign w:val="center"/>
          </w:tcPr>
          <w:p w14:paraId="23A5A973"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生涯规划</w:t>
            </w:r>
          </w:p>
        </w:tc>
        <w:tc>
          <w:tcPr>
            <w:tcW w:w="2655" w:type="dxa"/>
            <w:vAlign w:val="center"/>
          </w:tcPr>
          <w:p w14:paraId="25626B68" w14:textId="77777777" w:rsidR="009A43FF" w:rsidRDefault="00000000">
            <w:pPr>
              <w:rPr>
                <w:rFonts w:ascii="宋体" w:eastAsia="宋体" w:hAnsi="宋体" w:cs="宋体"/>
                <w:kern w:val="0"/>
                <w:szCs w:val="21"/>
              </w:rPr>
            </w:pPr>
            <w:r>
              <w:rPr>
                <w:rFonts w:ascii="宋体" w:eastAsia="宋体" w:hAnsi="宋体" w:cs="宋体" w:hint="eastAsia"/>
                <w:kern w:val="0"/>
                <w:szCs w:val="21"/>
              </w:rPr>
              <w:t>个人职业生涯规划书</w:t>
            </w:r>
          </w:p>
        </w:tc>
        <w:tc>
          <w:tcPr>
            <w:tcW w:w="1665" w:type="dxa"/>
            <w:vAlign w:val="center"/>
          </w:tcPr>
          <w:p w14:paraId="4BBF4B53" w14:textId="77777777" w:rsidR="009A43FF" w:rsidRDefault="00000000">
            <w:pPr>
              <w:jc w:val="center"/>
              <w:rPr>
                <w:rFonts w:ascii="宋体" w:eastAsia="宋体" w:hAnsi="宋体" w:cs="宋体"/>
                <w:kern w:val="0"/>
                <w:szCs w:val="21"/>
              </w:rPr>
            </w:pPr>
            <w:proofErr w:type="gramStart"/>
            <w:r>
              <w:rPr>
                <w:rFonts w:ascii="宋体" w:eastAsia="宋体" w:hAnsi="宋体" w:cs="宋体" w:hint="eastAsia"/>
                <w:kern w:val="0"/>
                <w:szCs w:val="21"/>
              </w:rPr>
              <w:t>第2学</w:t>
            </w:r>
            <w:proofErr w:type="gramEnd"/>
            <w:r>
              <w:rPr>
                <w:rFonts w:ascii="宋体" w:eastAsia="宋体" w:hAnsi="宋体" w:cs="宋体" w:hint="eastAsia"/>
                <w:kern w:val="0"/>
                <w:szCs w:val="21"/>
              </w:rPr>
              <w:t>期末</w:t>
            </w:r>
          </w:p>
        </w:tc>
        <w:tc>
          <w:tcPr>
            <w:tcW w:w="915" w:type="dxa"/>
            <w:vAlign w:val="center"/>
          </w:tcPr>
          <w:p w14:paraId="04B98121"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学生自主完成</w:t>
            </w:r>
          </w:p>
        </w:tc>
        <w:tc>
          <w:tcPr>
            <w:tcW w:w="1973" w:type="dxa"/>
            <w:vAlign w:val="center"/>
          </w:tcPr>
          <w:p w14:paraId="5B9B7786" w14:textId="77777777" w:rsidR="009A43FF" w:rsidRDefault="00000000">
            <w:pPr>
              <w:jc w:val="center"/>
              <w:rPr>
                <w:rFonts w:ascii="宋体" w:eastAsia="宋体" w:hAnsi="宋体" w:cs="宋体"/>
                <w:kern w:val="0"/>
                <w:szCs w:val="21"/>
              </w:rPr>
            </w:pPr>
            <w:r>
              <w:rPr>
                <w:rFonts w:ascii="宋体" w:eastAsia="宋体" w:hAnsi="宋体" w:cs="宋体" w:hint="eastAsia"/>
                <w:kern w:val="0"/>
                <w:szCs w:val="21"/>
              </w:rPr>
              <w:t>学生通过听取职业生涯规划讲座、网上查阅资料等形成完成规划书，辅导员负责批阅。</w:t>
            </w:r>
          </w:p>
        </w:tc>
      </w:tr>
    </w:tbl>
    <w:p w14:paraId="57E07345" w14:textId="77777777" w:rsidR="009A43FF" w:rsidRDefault="00000000">
      <w:pPr>
        <w:pStyle w:val="HTML"/>
        <w:shd w:val="clear" w:color="auto" w:fill="FFFFFF"/>
        <w:spacing w:beforeLines="50" w:before="156" w:line="360" w:lineRule="auto"/>
        <w:ind w:firstLineChars="200" w:firstLine="482"/>
        <w:rPr>
          <w:kern w:val="2"/>
        </w:rPr>
      </w:pPr>
      <w:r>
        <w:rPr>
          <w:rFonts w:hint="eastAsia"/>
          <w:b/>
          <w:bCs/>
        </w:rPr>
        <w:t>第五条</w:t>
      </w:r>
      <w:r>
        <w:rPr>
          <w:rFonts w:hint="eastAsia"/>
          <w:kern w:val="2"/>
        </w:rPr>
        <w:t xml:space="preserve"> 学生必须完成上述每一个内容，才能获得0.5个“生涯规划指导”第二课堂学分。</w:t>
      </w:r>
    </w:p>
    <w:p w14:paraId="58B30265" w14:textId="77777777" w:rsidR="009A43FF" w:rsidRDefault="00000000">
      <w:pPr>
        <w:pStyle w:val="HTML"/>
        <w:shd w:val="clear" w:color="auto" w:fill="FFFFFF"/>
        <w:spacing w:line="360" w:lineRule="auto"/>
        <w:ind w:firstLineChars="200" w:firstLine="482"/>
        <w:jc w:val="center"/>
        <w:rPr>
          <w:b/>
          <w:kern w:val="2"/>
        </w:rPr>
      </w:pPr>
      <w:r>
        <w:rPr>
          <w:rFonts w:hint="eastAsia"/>
          <w:b/>
          <w:kern w:val="2"/>
        </w:rPr>
        <w:t xml:space="preserve">第三章  </w:t>
      </w:r>
      <w:r>
        <w:rPr>
          <w:rFonts w:hint="eastAsia"/>
          <w:b/>
        </w:rPr>
        <w:t>“</w:t>
      </w:r>
      <w:r>
        <w:rPr>
          <w:rFonts w:hint="eastAsia"/>
          <w:b/>
          <w:kern w:val="2"/>
        </w:rPr>
        <w:t>生涯规划指导</w:t>
      </w:r>
      <w:r>
        <w:rPr>
          <w:rFonts w:hint="eastAsia"/>
          <w:b/>
        </w:rPr>
        <w:t>”</w:t>
      </w:r>
      <w:r>
        <w:rPr>
          <w:rFonts w:hint="eastAsia"/>
          <w:b/>
          <w:kern w:val="2"/>
        </w:rPr>
        <w:t>学分的管理</w:t>
      </w:r>
    </w:p>
    <w:p w14:paraId="666FBED8" w14:textId="77777777" w:rsidR="009A43FF" w:rsidRDefault="00000000">
      <w:pPr>
        <w:pStyle w:val="a3"/>
        <w:spacing w:line="360" w:lineRule="auto"/>
        <w:ind w:firstLineChars="200" w:firstLine="482"/>
        <w:rPr>
          <w:rFonts w:ascii="宋体" w:hAnsi="宋体" w:cs="宋体"/>
          <w:sz w:val="24"/>
        </w:rPr>
      </w:pPr>
      <w:r>
        <w:rPr>
          <w:rFonts w:ascii="宋体" w:hAnsi="宋体" w:cs="宋体" w:hint="eastAsia"/>
          <w:b/>
          <w:bCs/>
          <w:sz w:val="24"/>
        </w:rPr>
        <w:t xml:space="preserve">第六条 </w:t>
      </w:r>
      <w:r>
        <w:rPr>
          <w:rFonts w:ascii="宋体" w:hAnsi="宋体" w:cs="宋体" w:hint="eastAsia"/>
          <w:sz w:val="24"/>
        </w:rPr>
        <w:t>一年级辅导员负责“生涯规划”课程的日常管理及成绩记载，第三学期第十周前，各一年级辅导员将“生涯规划”情况记录表交予课程负责人，经审核后，由一年级辅导员将“生涯规划”课程成绩录入到教务系统中。课程负责人于第三学期结束前将学生成绩交予团委，由团委将该课程的成绩统一导入第二课堂中。</w:t>
      </w:r>
    </w:p>
    <w:p w14:paraId="67F962B9" w14:textId="77777777" w:rsidR="009A43FF" w:rsidRDefault="00000000">
      <w:pPr>
        <w:pStyle w:val="a3"/>
        <w:spacing w:line="360" w:lineRule="auto"/>
        <w:ind w:firstLineChars="200" w:firstLine="482"/>
        <w:rPr>
          <w:rFonts w:ascii="宋体" w:hAnsi="宋体" w:cs="宋体"/>
          <w:sz w:val="24"/>
        </w:rPr>
      </w:pPr>
      <w:r>
        <w:rPr>
          <w:rFonts w:ascii="宋体" w:hAnsi="宋体" w:cs="宋体" w:hint="eastAsia"/>
          <w:b/>
          <w:bCs/>
          <w:sz w:val="24"/>
        </w:rPr>
        <w:t xml:space="preserve">第七条 </w:t>
      </w:r>
      <w:r>
        <w:rPr>
          <w:rFonts w:ascii="宋体" w:hAnsi="宋体" w:cs="宋体" w:hint="eastAsia"/>
          <w:sz w:val="24"/>
        </w:rPr>
        <w:t>毕业当年5月份结算“生涯规划指导”第二课堂学分，由团委负责导出最后成绩单交二级学院教务秘书视同课程成绩单作永久保存。</w:t>
      </w:r>
    </w:p>
    <w:p w14:paraId="654D2F84" w14:textId="77777777" w:rsidR="009A43FF" w:rsidRDefault="00000000">
      <w:pPr>
        <w:pStyle w:val="HTML"/>
        <w:shd w:val="clear" w:color="auto" w:fill="FFFFFF"/>
        <w:spacing w:line="360" w:lineRule="auto"/>
        <w:ind w:firstLineChars="200" w:firstLine="482"/>
      </w:pPr>
      <w:r>
        <w:rPr>
          <w:rFonts w:hint="eastAsia"/>
          <w:b/>
          <w:bCs/>
          <w:kern w:val="2"/>
        </w:rPr>
        <w:lastRenderedPageBreak/>
        <w:t xml:space="preserve">第八条 </w:t>
      </w:r>
      <w:r>
        <w:rPr>
          <w:rFonts w:hint="eastAsia"/>
          <w:kern w:val="2"/>
        </w:rPr>
        <w:t>参加各类活动必须实事求是，对弄虚作假者，该“生涯规划指导”</w:t>
      </w:r>
      <w:r>
        <w:rPr>
          <w:rFonts w:hint="eastAsia"/>
        </w:rPr>
        <w:t>第二课堂成绩以0分记，并根据《东南大学成贤学院学生违纪处分管理办法》给予相应的处分。</w:t>
      </w:r>
    </w:p>
    <w:p w14:paraId="5D24D2C3" w14:textId="77777777" w:rsidR="009A43FF" w:rsidRDefault="00000000">
      <w:pPr>
        <w:pStyle w:val="HTML"/>
        <w:shd w:val="clear" w:color="auto" w:fill="FFFFFF"/>
        <w:spacing w:line="360" w:lineRule="auto"/>
        <w:ind w:firstLineChars="200" w:firstLine="482"/>
        <w:rPr>
          <w:b/>
          <w:bCs/>
        </w:rPr>
      </w:pPr>
      <w:r>
        <w:rPr>
          <w:rFonts w:hint="eastAsia"/>
          <w:b/>
          <w:bCs/>
        </w:rPr>
        <w:t xml:space="preserve">第九条 </w:t>
      </w:r>
      <w:r>
        <w:rPr>
          <w:rFonts w:hint="eastAsia"/>
        </w:rPr>
        <w:t>本管理办法由教务处、学生处和团委负责解释。</w:t>
      </w:r>
    </w:p>
    <w:p w14:paraId="68B66DAF" w14:textId="77777777" w:rsidR="009A43FF" w:rsidRDefault="009A43FF">
      <w:pPr>
        <w:spacing w:line="400" w:lineRule="exact"/>
        <w:ind w:firstLineChars="250" w:firstLine="703"/>
        <w:rPr>
          <w:rFonts w:ascii="宋体" w:eastAsia="宋体" w:hAnsi="宋体" w:cs="宋体"/>
          <w:b/>
          <w:bCs/>
          <w:sz w:val="28"/>
          <w:szCs w:val="28"/>
        </w:rPr>
      </w:pPr>
    </w:p>
    <w:p w14:paraId="399AD387" w14:textId="77777777" w:rsidR="009A43FF" w:rsidRDefault="009A43FF">
      <w:pPr>
        <w:spacing w:line="400" w:lineRule="exact"/>
        <w:ind w:rightChars="-156" w:right="-328"/>
        <w:rPr>
          <w:rFonts w:ascii="宋体" w:eastAsia="宋体" w:hAnsi="宋体" w:cs="宋体"/>
          <w:b/>
          <w:bCs/>
          <w:sz w:val="28"/>
          <w:szCs w:val="28"/>
        </w:rPr>
      </w:pPr>
    </w:p>
    <w:p w14:paraId="03B1ACAD" w14:textId="77777777" w:rsidR="009A43FF" w:rsidRDefault="009A43FF">
      <w:pPr>
        <w:jc w:val="left"/>
      </w:pPr>
    </w:p>
    <w:p w14:paraId="523A1907" w14:textId="77777777" w:rsidR="009A43FF" w:rsidRDefault="009A43FF">
      <w:pPr>
        <w:jc w:val="left"/>
      </w:pPr>
    </w:p>
    <w:p w14:paraId="19DEF384" w14:textId="77777777" w:rsidR="009A43FF" w:rsidRDefault="009A43FF">
      <w:pPr>
        <w:jc w:val="left"/>
      </w:pPr>
    </w:p>
    <w:p w14:paraId="1930DDDB" w14:textId="77777777" w:rsidR="009A43FF" w:rsidRDefault="009A43FF">
      <w:pPr>
        <w:jc w:val="left"/>
      </w:pPr>
    </w:p>
    <w:p w14:paraId="02BBD84E" w14:textId="77777777" w:rsidR="009A43FF" w:rsidRDefault="009A43FF">
      <w:pPr>
        <w:jc w:val="left"/>
      </w:pPr>
    </w:p>
    <w:p w14:paraId="7B65CF38" w14:textId="77777777" w:rsidR="009A43FF" w:rsidRDefault="009A43FF">
      <w:pPr>
        <w:jc w:val="left"/>
      </w:pPr>
    </w:p>
    <w:p w14:paraId="0BCBA1F8" w14:textId="77777777" w:rsidR="009A43FF" w:rsidRDefault="009A43FF">
      <w:pPr>
        <w:jc w:val="left"/>
      </w:pPr>
    </w:p>
    <w:p w14:paraId="1E114CA3" w14:textId="77777777" w:rsidR="009A43FF" w:rsidRDefault="009A43FF">
      <w:pPr>
        <w:jc w:val="left"/>
      </w:pPr>
    </w:p>
    <w:p w14:paraId="18B5BCC5" w14:textId="77777777" w:rsidR="009A43FF" w:rsidRDefault="009A43FF">
      <w:pPr>
        <w:jc w:val="left"/>
      </w:pPr>
    </w:p>
    <w:p w14:paraId="0F1783D9" w14:textId="77777777" w:rsidR="009A43FF" w:rsidRDefault="009A43FF">
      <w:pPr>
        <w:jc w:val="left"/>
      </w:pPr>
    </w:p>
    <w:p w14:paraId="1429CABD" w14:textId="77777777" w:rsidR="009A43FF" w:rsidRDefault="009A43FF">
      <w:pPr>
        <w:jc w:val="left"/>
      </w:pPr>
    </w:p>
    <w:p w14:paraId="22538343" w14:textId="77777777" w:rsidR="009A43FF" w:rsidRDefault="009A43FF">
      <w:pPr>
        <w:jc w:val="left"/>
      </w:pPr>
    </w:p>
    <w:p w14:paraId="78DF6991" w14:textId="77777777" w:rsidR="009A43FF" w:rsidRDefault="009A43FF">
      <w:pPr>
        <w:jc w:val="left"/>
      </w:pPr>
    </w:p>
    <w:p w14:paraId="2DE1E3C7" w14:textId="77777777" w:rsidR="009A43FF" w:rsidRDefault="009A43FF">
      <w:pPr>
        <w:jc w:val="left"/>
      </w:pPr>
    </w:p>
    <w:p w14:paraId="4DEC05C2" w14:textId="77777777" w:rsidR="009A43FF" w:rsidRDefault="009A43FF">
      <w:pPr>
        <w:jc w:val="left"/>
      </w:pPr>
    </w:p>
    <w:p w14:paraId="72A5D3B7" w14:textId="77777777" w:rsidR="009A43FF" w:rsidRDefault="009A43FF"/>
    <w:sectPr w:rsidR="009A4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89CA" w14:textId="77777777" w:rsidR="003A00FF" w:rsidRDefault="003A00FF" w:rsidP="00077505">
      <w:r>
        <w:separator/>
      </w:r>
    </w:p>
  </w:endnote>
  <w:endnote w:type="continuationSeparator" w:id="0">
    <w:p w14:paraId="752B90E0" w14:textId="77777777" w:rsidR="003A00FF" w:rsidRDefault="003A00FF" w:rsidP="0007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B701" w14:textId="77777777" w:rsidR="003A00FF" w:rsidRDefault="003A00FF" w:rsidP="00077505">
      <w:r>
        <w:separator/>
      </w:r>
    </w:p>
  </w:footnote>
  <w:footnote w:type="continuationSeparator" w:id="0">
    <w:p w14:paraId="6AF75918" w14:textId="77777777" w:rsidR="003A00FF" w:rsidRDefault="003A00FF" w:rsidP="00077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0A49CF"/>
    <w:rsid w:val="00077505"/>
    <w:rsid w:val="003A00FF"/>
    <w:rsid w:val="009A43FF"/>
    <w:rsid w:val="02D62849"/>
    <w:rsid w:val="7F0A4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E441B"/>
  <w15:docId w15:val="{707A236D-66E1-4F75-9413-BB9707B6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00" w:lineRule="auto"/>
      <w:ind w:firstLineChars="257" w:firstLine="540"/>
    </w:pPr>
    <w:rPr>
      <w:rFonts w:ascii="Times New Roman" w:eastAsia="宋体" w:hAnsi="Times New Roman" w:cs="Times New Roman"/>
    </w:rPr>
  </w:style>
  <w:style w:type="paragraph" w:styleId="HTML">
    <w:name w:val="HTML Preformatted"/>
    <w:basedOn w:val="a"/>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77505"/>
    <w:pPr>
      <w:tabs>
        <w:tab w:val="center" w:pos="4153"/>
        <w:tab w:val="right" w:pos="8306"/>
      </w:tabs>
      <w:snapToGrid w:val="0"/>
      <w:jc w:val="center"/>
    </w:pPr>
    <w:rPr>
      <w:sz w:val="18"/>
      <w:szCs w:val="18"/>
    </w:rPr>
  </w:style>
  <w:style w:type="character" w:customStyle="1" w:styleId="a7">
    <w:name w:val="页眉 字符"/>
    <w:basedOn w:val="a0"/>
    <w:link w:val="a6"/>
    <w:rsid w:val="00077505"/>
    <w:rPr>
      <w:kern w:val="2"/>
      <w:sz w:val="18"/>
      <w:szCs w:val="18"/>
    </w:rPr>
  </w:style>
  <w:style w:type="paragraph" w:styleId="a8">
    <w:name w:val="footer"/>
    <w:basedOn w:val="a"/>
    <w:link w:val="a9"/>
    <w:rsid w:val="00077505"/>
    <w:pPr>
      <w:tabs>
        <w:tab w:val="center" w:pos="4153"/>
        <w:tab w:val="right" w:pos="8306"/>
      </w:tabs>
      <w:snapToGrid w:val="0"/>
      <w:jc w:val="left"/>
    </w:pPr>
    <w:rPr>
      <w:sz w:val="18"/>
      <w:szCs w:val="18"/>
    </w:rPr>
  </w:style>
  <w:style w:type="character" w:customStyle="1" w:styleId="a9">
    <w:name w:val="页脚 字符"/>
    <w:basedOn w:val="a0"/>
    <w:link w:val="a8"/>
    <w:rsid w:val="0007750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徐曼</dc:creator>
  <cp:lastModifiedBy>HP</cp:lastModifiedBy>
  <cp:revision>2</cp:revision>
  <dcterms:created xsi:type="dcterms:W3CDTF">2024-04-16T06:23:00Z</dcterms:created>
  <dcterms:modified xsi:type="dcterms:W3CDTF">2024-04-16T06:23:00Z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633CBBEE246B4AB7BE16DA7F8462C2E5</vt:lpwstr>
  </property>
</Properties>
</file>